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tblCellMar>
          <w:top w:w="345" w:type="dxa"/>
          <w:left w:w="345" w:type="dxa"/>
          <w:bottom w:w="345" w:type="dxa"/>
          <w:right w:w="345" w:type="dxa"/>
        </w:tblCellMar>
        <w:tblLook w:val="04A0"/>
      </w:tblPr>
      <w:tblGrid>
        <w:gridCol w:w="12128"/>
      </w:tblGrid>
      <w:tr w:rsidR="00BC627E" w:rsidRPr="004B08B6" w:rsidTr="00BC627E">
        <w:trPr>
          <w:trHeight w:val="4950"/>
          <w:tblCellSpacing w:w="0" w:type="dxa"/>
        </w:trPr>
        <w:tc>
          <w:tcPr>
            <w:tcW w:w="11550" w:type="dxa"/>
            <w:shd w:val="clear" w:color="auto" w:fill="FFFFFF"/>
            <w:hideMark/>
          </w:tcPr>
          <w:tbl>
            <w:tblPr>
              <w:tblW w:w="1086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8"/>
            </w:tblGrid>
            <w:tr w:rsidR="00BC627E" w:rsidRPr="004B08B6" w:rsidTr="00533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627E" w:rsidRPr="004B08B6" w:rsidRDefault="002C212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VÕNNU KESKKOOLI</w:t>
                  </w:r>
                  <w:r w:rsidR="00BC627E"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 xml:space="preserve"> </w:t>
                  </w:r>
                  <w:r w:rsidR="00ED51AB"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 xml:space="preserve">KOORILAULU </w:t>
                  </w:r>
                  <w:r w:rsidR="00BC627E"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AINEKAVA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     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t-EE"/>
                    </w:rPr>
                    <w:t>Kursuse maht: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70 tundi õppeaastas</w:t>
                  </w:r>
                  <w:r w:rsidR="0098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(millest 35 tundi on koorilaulu tunnid ja teine 35 tundi moodustub laululaagritest, esinemistest, laulupäevadest, töötubadest)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Eesmärgid: 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t-EE"/>
                    </w:rPr>
                    <w:t>K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oorilaulu ainekava toetub gümnaasiumi muusikaõpetuse ainekaval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.</w:t>
                  </w:r>
                </w:p>
                <w:p w:rsidR="00ED51AB" w:rsidRPr="004B08B6" w:rsidRDefault="00ED51AB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Koosmusitseerimise kaudu teadvustatakse ja süvendatakse õpilase isiklikku suhet muusikase, t</w:t>
                  </w:r>
                  <w:r w:rsid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ähtsustatakse ja teadvustatakse 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ühislaulmist ning koorilaulu kui rahvuslikku kultuuritraditsiooni. 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Süstemaatiliselt õpitakse tundma ja väärtustama maa</w:t>
                  </w:r>
                  <w:r w:rsidR="00ED51AB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ilma ja eesti vokaalset muusika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pärandit; kuj</w:t>
                  </w:r>
                  <w:r w:rsid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undatakse arusaam muusikast kui 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rahvaste vahelisest suhtlemiskeelest.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Laulmisel süvendatakse huvi ühislaulmise vastu; lähtutakse eri ajastute, erinevate stiilide ja rahvaste ning kaasaegsest laulurepertuaarist.</w:t>
                  </w:r>
                </w:p>
                <w:p w:rsidR="00DD62F2" w:rsidRPr="004B08B6" w:rsidRDefault="00DD62F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Õppe-eesmärgid: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nooditundmise, arendamine;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vokaaltehnika omandamine;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hääletervishoiu tutvustamine;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harmooniataju arendamine;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diktsiooni arendamine;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dünaamikaelementide valdamine vokaaltehnika kaudu 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erinevate muusikastiilide tajumine ja võimetekohane valdamine;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ühistegevuse võimaldamine;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esinemiskogemuse omandamine, lavalise käitumise õppimine.</w:t>
                  </w:r>
                </w:p>
                <w:p w:rsidR="00DD62F2" w:rsidRPr="004B08B6" w:rsidRDefault="00DD62F2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kultuurilise tervikpildi kujundamine</w:t>
                  </w:r>
                </w:p>
                <w:p w:rsidR="00DD62F2" w:rsidRPr="004B08B6" w:rsidRDefault="00DD62F2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eesti laulu-ja tantsupeo traditsiooni ajaloo tutvustamine</w:t>
                  </w:r>
                </w:p>
                <w:p w:rsidR="00DD62F2" w:rsidRPr="004B08B6" w:rsidRDefault="00DD62F2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koorimuusika propageerimine</w:t>
                  </w:r>
                </w:p>
                <w:p w:rsidR="00DD62F2" w:rsidRPr="004B08B6" w:rsidRDefault="00DD62F2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oskab rakendada  põhikoolis omandatud muusikateadmisi ja -oskusi muusika analüüsimisel ja musitseerimisel;</w:t>
                  </w:r>
                </w:p>
                <w:p w:rsidR="00BC627E" w:rsidRPr="004B08B6" w:rsidRDefault="00DD62F2" w:rsidP="00ED51A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lastRenderedPageBreak/>
                    <w:t>omandab teadmisi heliloojate loomingust ühislaulmise kaudu;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Õppetegevus:</w:t>
                  </w:r>
                </w:p>
                <w:p w:rsidR="00DD62F2" w:rsidRPr="004B08B6" w:rsidRDefault="00DD62F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Koorilaulu töövormideks 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on koorilaulu tunnid</w:t>
                  </w:r>
                  <w:r w:rsidR="0098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(35 tundi)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, laululaag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rid, nädalal</w:t>
                  </w:r>
                  <w:r w:rsidR="002C212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õpu proovid, koorilaulu töötoad</w:t>
                  </w:r>
                  <w:r w:rsidR="0098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(35 tundi)</w:t>
                  </w:r>
                  <w:r w:rsidR="002C212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Repertuaari valikul arvestatakse eakohasust, õpilaste huve ja esinemisvajadusi.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Koorila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ulu aruandevormideks on esinemised: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kontsert, festival, konkurss, kategooriasse laulmine, laulupidu.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Õpilane on kohustatud kooriga liitumisel eelpool nimetatud tegevustes osalema.</w:t>
                  </w:r>
                </w:p>
                <w:p w:rsidR="00473085" w:rsidRPr="004B08B6" w:rsidRDefault="00473085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Õppetöö edukal läbimisel saab õpilane </w:t>
                  </w:r>
                  <w:r w:rsidR="00B641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lisahinde muusikaõpetuse ainetunnile. </w:t>
                  </w:r>
                </w:p>
                <w:p w:rsidR="00DD62F2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 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Õppesisu: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hääleseade kooris, grupis ja individuaalselt; 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laulmis- ja hingamistehnikate omandamine;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kaanon</w:t>
                  </w:r>
                  <w:r w:rsidR="002C212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ite, a´capella ja saatega 2-, ja 3- häälsete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koorilaulude laulmine;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tähtpäevadeks ja temaatilisteks sündmusteks olulise ja vajaliku repertuaari läbimine (jõulud, kevadpidu, Eesti Vabariigi aastapäev jne.); 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laulupeo repertuaari omandamine, laulupeo protsessis osalemine;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suurvormide laulmise kogemuse saamine;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osalemine erinevates</w:t>
                  </w:r>
                  <w:r w:rsidR="00473085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kooriprojektides, töötubades, konkurssidel, laagrites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lavalise käitumise põhimõtete omandamine ja nende kasutamine praktikas.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 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Õpitulemused: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Kursuse läbimisel suudab õpilane: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kasuta</w:t>
                  </w:r>
                  <w:r w:rsidR="00473085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da oma vokaaltehnilis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</w:t>
                  </w:r>
                  <w:r w:rsidR="00473085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teadmisi praktikas ( artikulatsioon, diktsioon, häälehoid)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lastRenderedPageBreak/>
                    <w:t>esitada õpitud laulude partii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iseseisvalt noodist või peast vastavalt oma vokaalsetele võimetele;</w:t>
                  </w:r>
                </w:p>
                <w:p w:rsidR="00473085" w:rsidRPr="004B08B6" w:rsidRDefault="00BC627E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osaleda ansamblilises tö</w:t>
                  </w:r>
                  <w:r w:rsidR="00473085"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ös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osaleda organisatsiooni töös, võttes vabatahtlikult organisatsioonile vajalikke individuaalseid ülesandeid ning osaledes koori ühistes tegevustes.</w:t>
                  </w:r>
                </w:p>
                <w:p w:rsidR="00ED51AB" w:rsidRPr="004B08B6" w:rsidRDefault="00ED51AB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väljendada kuuldud muusika kohta oma arvamust ning võrrelda, analüüsida ja argumenteerida, toetudes teadmistele ning muusika oskussõnavarale.</w:t>
                  </w:r>
                </w:p>
                <w:p w:rsidR="00ED51AB" w:rsidRPr="004B08B6" w:rsidRDefault="00ED51AB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leida koorimuusikaalast infot erinevatest teabeallikatest, kasutades nüüdisaegseid infotehnoloogia võimalusi.</w:t>
                  </w:r>
                </w:p>
                <w:p w:rsidR="00BC627E" w:rsidRPr="004B08B6" w:rsidRDefault="00ED51AB" w:rsidP="00ED51A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määratelda end laulupeo traditsiooni austajana ja edasikandjana lauljana või muusikateadliku publikuna; väärtustab ühislaulmist kui rahvuslikku kultuuri-traditsiooni.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Järjepideva õppetöö tulemusena õpilane: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valdab laulude esituseks vajalikku dünaamikaskaalat;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tunneb häälehoiu põhimõtteid ning esmaseid ravivõtteid;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tunneb eesti laulupidude traditsiooni ja selle ajalugu;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tunneb ja oskab nimetada eesti tuntud koorijuhte;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oskab nimetada eesti tuntumaid heliloojaid;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oskab hinnata heatasemelist professionaalset koorimuusikat;</w:t>
                  </w:r>
                </w:p>
                <w:p w:rsidR="00BC627E" w:rsidRPr="004B08B6" w:rsidRDefault="00BC627E" w:rsidP="00ED51A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oskab suhestada eesti koorimuusikat maailma koorimuusikaga.</w:t>
                  </w:r>
                </w:p>
                <w:p w:rsidR="00ED51AB" w:rsidRPr="004B08B6" w:rsidRDefault="00ED51AB" w:rsidP="00ED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Koorilaulu lõiming teiste ainevaldkondadega</w:t>
                  </w:r>
                </w:p>
                <w:p w:rsidR="00ED51AB" w:rsidRPr="004B08B6" w:rsidRDefault="00ED51AB" w:rsidP="00ED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Koorilaul on tihedalt seotud inimtegevuse valdkondadega ning ajastu mõtteviisidega. Inimeseks olemine, sotsiaalsed ja maailm avalduboma erinevates vormides koorilaulu aines ning on seeläbi seotud kõigi ainevaldkondadega.</w:t>
                  </w:r>
                </w:p>
                <w:p w:rsidR="00ED51AB" w:rsidRPr="004B08B6" w:rsidRDefault="00ED51AB" w:rsidP="00ED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Läbi koorilaulu õpitakse tundma eri ajastute eetilisi ja esteetilisi tõekspidamisi ning nende seotust sotsiaalsete, majanduslike, ideoloogiliste, tehnoloogiliste mõjutajatega.</w:t>
                  </w:r>
                </w:p>
                <w:p w:rsidR="00ED51AB" w:rsidRPr="004B08B6" w:rsidRDefault="00ED51AB" w:rsidP="00ED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Ühiselt teiste ainetega toimib koorilaulu laulmisega maailma kultuurilise mitmekesisuse teadvustamine ja väärtustamine, isiklike seisukohtade, väljendus- ja põhjendusoskuste kujundamine ning salliv suhtumine kaaslaste </w:t>
                  </w: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lastRenderedPageBreak/>
                    <w:t>eriarvamustesse ja loomingulistesse katsetustesse.</w:t>
                  </w:r>
                </w:p>
                <w:p w:rsidR="00ED51AB" w:rsidRPr="004B08B6" w:rsidRDefault="00ED51AB" w:rsidP="00ED51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Hindamine: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Õpitulemusi hinnates lähtutakse gümnaasiumi riikliku õppekava üldosa ja teiste hindamist reguleerivate õigusaktide käitlusest.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Koorilaulus annab hindamine tagasisidet õpilase võimekuse ja tema individuaalse arengu kohta, on lähtekoht järgneva õppe kujundamisele ning stimuleerib ja motiveerib õpilast parematele tulemustele ja enesearendustele.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Hinnatakse õpilase teadmiste ja oskuste rakendamist muusikalistes tegevustes, arvestades ainekavas taotletavaid õpitulemusi. Hinnatakse koos musitseerimist, väljendusoskust kirjalikes ja suulistes aruteludes ning aktiivsust  õppetöös ja- käikudel. Õpitulemusi hinnatakse numbriliste hinnetega</w:t>
                  </w:r>
                  <w:r w:rsidR="00E26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mis lisatakse muusikaõpetuse ainetunni alla</w:t>
                  </w: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Õpitulemuste kontrollimise vormid peavad olema mitmekesised ning vastavuses õpitulemustega. Õpilane peab teadma mida ja millal hinnatakse, mis hindamisvahendeid kasutatakse ja mis on hindamse kriteeriumid.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Koorilaulu hindamine valikainena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Koorilaulu ainemaht 70tundi õppeaastas jaguneb kaheks perioodiks. Hindamine toimub perioodide jooksul vastavalt Võnnu Keskkoolis kehtestatud hinnete väljapanemise korrale.</w:t>
                  </w:r>
                </w:p>
                <w:p w:rsidR="00ED51AB" w:rsidRPr="004B08B6" w:rsidRDefault="00ED51AB" w:rsidP="00ED51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Hinnataks: </w:t>
                  </w:r>
                </w:p>
                <w:p w:rsidR="00ED51AB" w:rsidRPr="004B08B6" w:rsidRDefault="00ED51AB" w:rsidP="00ED51AB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õpilaste osalemist kooriproovides, esinemistel, laagrites. Õpilaste tööd ja aktiivsust aine omandamisel. </w:t>
                  </w:r>
                </w:p>
                <w:p w:rsidR="00ED51AB" w:rsidRPr="004B08B6" w:rsidRDefault="00ED51AB" w:rsidP="00ED51AB">
                  <w:pPr>
                    <w:pStyle w:val="ListParagraph"/>
                    <w:ind w:left="14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Hinne „5” 90 – 100% aktiivset osalemist</w:t>
                  </w:r>
                </w:p>
                <w:p w:rsidR="00ED51AB" w:rsidRPr="004B08B6" w:rsidRDefault="00ED51AB" w:rsidP="00ED51AB">
                  <w:pPr>
                    <w:pStyle w:val="ListParagraph"/>
                    <w:ind w:left="14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„4” 75 – 90% aktiivset osalemist</w:t>
                  </w:r>
                </w:p>
                <w:p w:rsidR="00ED51AB" w:rsidRPr="004B08B6" w:rsidRDefault="00ED51AB" w:rsidP="00ED51AB">
                  <w:pPr>
                    <w:pStyle w:val="ListParagraph"/>
                    <w:ind w:left="14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„3” 60 – 75% aktiivset osalemist</w:t>
                  </w:r>
                </w:p>
                <w:p w:rsidR="00ED51AB" w:rsidRPr="004B08B6" w:rsidRDefault="00ED51AB" w:rsidP="00ED51AB">
                  <w:pPr>
                    <w:pStyle w:val="ListParagraph"/>
                    <w:ind w:left="14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„2” 50 – 60% aktiivset osalemist</w:t>
                  </w:r>
                </w:p>
                <w:p w:rsidR="00ED51AB" w:rsidRPr="004B08B6" w:rsidRDefault="00ED51AB" w:rsidP="00ED51AB">
                  <w:pPr>
                    <w:pStyle w:val="ListParagraph"/>
                    <w:ind w:left="14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„1” alla 50% aktiivset osalemist</w:t>
                  </w:r>
                </w:p>
                <w:p w:rsidR="00ED51AB" w:rsidRPr="004B08B6" w:rsidRDefault="00ED51AB" w:rsidP="00ED51AB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08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perioodi jooksul läbivalt hinnetega vastavalt õpilase sooritatud panusele koori esinemisele ja kontsertidel. 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 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Ainekava koostas: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 </w:t>
                  </w:r>
                </w:p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  <w:t> </w:t>
                  </w:r>
                </w:p>
                <w:p w:rsidR="00BC627E" w:rsidRPr="004B08B6" w:rsidRDefault="002C212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et-EE"/>
                    </w:rPr>
                    <w:t>Teana Sobko</w:t>
                  </w:r>
                </w:p>
                <w:p w:rsidR="00BC627E" w:rsidRPr="004B08B6" w:rsidRDefault="00C32DE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et-EE"/>
                    </w:rPr>
                    <w:t>September 2014</w:t>
                  </w:r>
                </w:p>
                <w:p w:rsidR="00DD62F2" w:rsidRPr="004B08B6" w:rsidRDefault="00DD62F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</w:pPr>
                </w:p>
                <w:p w:rsidR="00DD62F2" w:rsidRPr="004B08B6" w:rsidRDefault="00DD62F2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</w:pPr>
                </w:p>
                <w:p w:rsidR="00DD62F2" w:rsidRPr="004B08B6" w:rsidRDefault="00C67628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  <w:t>(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  <w:t>Ainekava koostamisel on ee</w:t>
                  </w:r>
                  <w:r w:rsidR="00533B11" w:rsidRPr="004B0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  <w:t>sk</w:t>
                  </w:r>
                  <w:r w:rsidR="00DD62F2" w:rsidRPr="004B0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  <w:t>ujuks võetud Orissaare Gümnaasiumi muusikaõpetaja koostatud koorilaulu ainekava 2006</w:t>
                  </w:r>
                  <w:r w:rsidRPr="004B0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  <w:t>)</w:t>
                  </w:r>
                </w:p>
                <w:p w:rsidR="004B08B6" w:rsidRPr="004B08B6" w:rsidRDefault="004B08B6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</w:pPr>
                </w:p>
                <w:p w:rsidR="004B08B6" w:rsidRPr="004B08B6" w:rsidRDefault="004B08B6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et-EE"/>
                    </w:rPr>
                  </w:pPr>
                </w:p>
                <w:p w:rsidR="004B08B6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B0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 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0"/>
                    <w:gridCol w:w="2269"/>
                    <w:gridCol w:w="2350"/>
                    <w:gridCol w:w="1870"/>
                    <w:gridCol w:w="2649"/>
                  </w:tblGrid>
                  <w:tr w:rsidR="004B08B6" w:rsidRPr="004B08B6" w:rsidTr="001D470E">
                    <w:tc>
                      <w:tcPr>
                        <w:tcW w:w="22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  <w:t>õpitulemused</w:t>
                        </w:r>
                      </w:p>
                    </w:tc>
                    <w:tc>
                      <w:tcPr>
                        <w:tcW w:w="2396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  <w:t>õppesisu ja -tegevused</w:t>
                        </w:r>
                      </w:p>
                    </w:tc>
                    <w:tc>
                      <w:tcPr>
                        <w:tcW w:w="235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  <w:t>füüsiline õpikeskkond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  <w:t>hindamine</w:t>
                        </w:r>
                      </w:p>
                    </w:tc>
                    <w:tc>
                      <w:tcPr>
                        <w:tcW w:w="2649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i-FI"/>
                          </w:rPr>
                          <w:t xml:space="preserve">Lõiming </w:t>
                        </w:r>
                      </w:p>
                    </w:tc>
                  </w:tr>
                  <w:tr w:rsidR="004B08B6" w:rsidRPr="004B08B6" w:rsidTr="001D470E">
                    <w:tc>
                      <w:tcPr>
                        <w:tcW w:w="22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Laulmine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Laulab ühe- või mitmehäälselt rühmas olenevalt oma hääle omapärast;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mõistab ja väärtustab laulupeo sotsiaal-poliitilist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olemust ning muusikahariduslikku tähendust;</w:t>
                        </w:r>
                      </w:p>
                      <w:p w:rsidR="001D470E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  <w:p w:rsidR="001D470E" w:rsidRPr="004B08B6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</w:p>
                      <w:p w:rsidR="001D470E" w:rsidRPr="004B08B6" w:rsidRDefault="001D470E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4B08B6" w:rsidRPr="004B08B6" w:rsidRDefault="004B08B6" w:rsidP="002C2679">
                        <w:pPr>
                          <w:pStyle w:val="BodyTex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pStyle w:val="BodyText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sz w:val="24"/>
                            <w:szCs w:val="24"/>
                          </w:rPr>
                          <w:t xml:space="preserve">* </w:t>
                        </w:r>
                        <w:r w:rsidRPr="004B08B6">
                          <w:rPr>
                            <w:bCs/>
                            <w:sz w:val="24"/>
                            <w:szCs w:val="24"/>
                          </w:rPr>
                          <w:t xml:space="preserve">Laulab oma hääle omapära arvestades loomuliku kehahoiu, hingamise, selge diktsiooni, puhta intonatsiooniga ja väljendusrikkalt ning arvestab esitatava muusikapala stiili; järgib häälehoidu </w:t>
                        </w:r>
                        <w:r w:rsidRPr="004B08B6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>häälemurdeperioodil;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* laulab ea- ja teemakohaseid ühe-, kahe- ning kolmehäälseid laule ja kaanoneid ning eesti ja teiste rahvaste laule;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</w:t>
                        </w: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osaleb laulurepertuaari valimisel ja põhjendab oma seisukohti;</w:t>
                        </w:r>
                      </w:p>
                      <w:p w:rsid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Seostab duur- ja moll helilaadi ning duur- ja moll kolmkõla lauludega;</w:t>
                        </w:r>
                      </w:p>
                      <w:p w:rsidR="001D470E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 xml:space="preserve">*omandab </w:t>
                        </w:r>
                        <w:r w:rsidRPr="004B08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lavalise käitumise põhimõ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 xml:space="preserve">tted  ja kasutab neid </w:t>
                        </w:r>
                        <w:r w:rsidRPr="004B08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 xml:space="preserve"> praktikas.</w:t>
                        </w:r>
                      </w:p>
                      <w:p w:rsidR="001D470E" w:rsidRPr="004B08B6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* osaleb erinevates kooriprojektides ( laager, konkurss, esinemine vms)</w:t>
                        </w:r>
                      </w:p>
                      <w:p w:rsidR="001D470E" w:rsidRPr="004B08B6" w:rsidRDefault="001D470E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5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Naturaalklaver + tool, süntesaator, akustilised kitarrid,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noodijoonestikuga tahvel,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Hindamisel arvestatakse: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loomulikku kehahoidu, selget diktsiooni, väljendusrikkust;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individuaalset ja/või rühmas laulmist lähtudes  õpilase loomulikest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võimetest ja nende arengust;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aktiivset osavõttu ühislaulmisest;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helikõrguste tabamist lähtudes õpilase võimetest;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õpilase aktiivset osalemist koolikooris, silmapaistvat esinemist kooliüritustel ning kooli esindamist konkurssidel.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Hindamisel arvestatakse: 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ülesandes püstitatud eesmärkide täitmist.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9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lastRenderedPageBreak/>
                          <w:t xml:space="preserve">Eesti keel, 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sz w:val="24"/>
                            <w:szCs w:val="24"/>
                          </w:rPr>
                          <w:t>Teksti tähenduse mõistmine – arutelu ja analüüs, diktsioon, väljendusrikkus.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sz w:val="24"/>
                            <w:szCs w:val="24"/>
                            <w:u w:val="single"/>
                          </w:rPr>
                          <w:t>Kirjandus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sz w:val="24"/>
                            <w:szCs w:val="24"/>
                          </w:rPr>
                          <w:t xml:space="preserve">Laulutekstide autorid. 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Matemaatika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Laulu vorm, taktimõõt, murrud, mälu, seostamis- ja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põhjendusoskus (loogika), paralleelsed helistikud.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Ühiskonnaõpetus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Liiklus-, kodu-, kodumaa- ja rahvakalendriteemad;  aeg (tempo).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Kehaline kasvatus </w:t>
                        </w: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Loomulik kehahoid ja hingamine.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Bioloogia</w:t>
                        </w:r>
                      </w:p>
                      <w:p w:rsidR="004B08B6" w:rsidRPr="004B08B6" w:rsidRDefault="004B08B6" w:rsidP="002C2679">
                        <w:pPr>
                          <w:pStyle w:val="BodyText2"/>
                          <w:spacing w:after="0" w:line="240" w:lineRule="auto"/>
                          <w:jc w:val="both"/>
                        </w:pPr>
                        <w:r w:rsidRPr="004B08B6">
                          <w:t>Hingamine, häälehoid (k.a häälemurde perioodil), kuulmine ja kõrv, pärilikkus.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Füüsika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Heli ja selle omadused liikumine/jõud, võnkumine, müra.</w:t>
                        </w:r>
                      </w:p>
                    </w:tc>
                  </w:tr>
                  <w:tr w:rsidR="004B08B6" w:rsidRPr="004B08B6" w:rsidTr="001D470E">
                    <w:tc>
                      <w:tcPr>
                        <w:tcW w:w="22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Muusika kuulamine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Väljendab oma arvamust kuuldud muusikast ning põhjendab ja analüüsib seda muusika oskussõnavara kasutades suuliselt ja kirjalikult;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väärtustab heatasemelist </w:t>
                        </w:r>
                        <w:r w:rsidR="001D4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koori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muusikat elavas ja salvestatud ettekandes;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*teab autoriõigusi ja sellega kaasnevaid õigusi ja kohustusi;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trike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rakendab üksi ja rühmas musitseerides teadmisi muusikast ning väljendab erinevates muusikalistes tegevustes oma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loomingulisi ideid;</w:t>
                        </w:r>
                      </w:p>
                      <w:p w:rsidR="001D470E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*</w:t>
                        </w:r>
                        <w:r w:rsidRPr="004B08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tunneb ja oskab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imetada eesti tuntud koorijuhte, hjeliloojaid</w:t>
                        </w:r>
                      </w:p>
                      <w:p w:rsidR="001D470E" w:rsidRPr="004B08B6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*</w:t>
                        </w:r>
                        <w:r w:rsidRPr="004B08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oskab hinnata heatasemelist professionaalset koorimuusikat;</w:t>
                        </w:r>
                      </w:p>
                      <w:p w:rsidR="001D470E" w:rsidRPr="004B08B6" w:rsidRDefault="001D470E" w:rsidP="001D470E">
                        <w:pPr>
                          <w:spacing w:before="100" w:beforeAutospacing="1" w:after="100" w:after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*</w:t>
                        </w:r>
                        <w:r w:rsidRPr="004B08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t-EE"/>
                          </w:rPr>
                          <w:t>oskab suhestada eesti koorimuusikat maailma koorimuusikaga.</w:t>
                        </w:r>
                      </w:p>
                      <w:p w:rsidR="001D470E" w:rsidRPr="004B08B6" w:rsidRDefault="001D470E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*</w:t>
                        </w: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kuulab ja eristab muusikapalades muusika väljendusvahendeid (meloodiat, rütmi, tempot, dünaamikat, tämbrit) ning muusikateose ülesehitust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(2-ja 3-osalist lihtvormi, variatsiooni- ja rondovormi);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</w:t>
                        </w: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arutleb muusika üle ja analüüsib seda oskussõnavara kasutades;  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* arvestab teiste arvamust ning põhjendab  oma  arvamust nii suuliselt kui ka kirjalikult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;  </w:t>
                        </w:r>
                      </w:p>
                      <w:p w:rsidR="004B08B6" w:rsidRDefault="004B08B6" w:rsidP="001D470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D4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tutvub eesti kuntud dirikentidega ja heliloojatega</w:t>
                        </w:r>
                      </w:p>
                      <w:p w:rsidR="001D470E" w:rsidRPr="004B08B6" w:rsidRDefault="001D470E" w:rsidP="001D470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õpib väärtustama  heatasemelist koorilaulu </w:t>
                        </w:r>
                      </w:p>
                    </w:tc>
                    <w:tc>
                      <w:tcPr>
                        <w:tcW w:w="235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Muusikakeskus HIFI, DVD-mängija, CD-d, DVD-d, VHS-id, internetiühendusega arvuti, heliloojate portreed, muusikainstrumentide ja orkestrite pildid.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Hindamisel arvestatakse: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arutlus-, väljendus- ja analüüsioskust ning oma arvamuse põhjendamist muusika oskussõnavara kasutades (essee, suuline ettekanne);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oskust leida iseloomulikke jooni ning võrrelda erinevaid muusikalisi stiile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9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Eesti keel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Sõnavara, sh muusikaline, suuline ja kirjalik väljendusoskus (essee, uurimus, referaat), õigekiri, väitlemine oma seisukohtade põhjendamiseks.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Kirjandus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Teose autor, teksti analüüs.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Kunst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 meeleolu visualiseerimine, plakatid, tämber.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Matemaatika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Võrdlemine, eristamine, muusikapala vorm, murdarvud - erinevad taktimõõdud, loogika – põhjendus, analüüs.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Ajalugu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erinevate maade ja ajastute kultuurilugu.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Ühiskonnaõpetus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Rahvused, riigid ja nende tavad, inimõigused/autorikaitse, ettevõtlus ja konkurents,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moraal, eetika, elukutsevalik.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Füüsika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Heli ja selle omadused, liikumine/jõud, võnkumine, müra, elekter seotult elektrofonidega.  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Bioloogia</w:t>
                        </w:r>
                      </w:p>
                      <w:p w:rsidR="004B08B6" w:rsidRPr="004B08B6" w:rsidRDefault="004B08B6" w:rsidP="002C2679">
                        <w:pPr>
                          <w:pStyle w:val="BodyText2"/>
                          <w:spacing w:after="0" w:line="240" w:lineRule="auto"/>
                          <w:jc w:val="both"/>
                        </w:pPr>
                        <w:r w:rsidRPr="004B08B6">
                          <w:t>Kuulmine/kõrv ja tervishoid, pärilikkus.</w:t>
                        </w:r>
                      </w:p>
                      <w:p w:rsidR="004B08B6" w:rsidRPr="004B08B6" w:rsidRDefault="004B08B6" w:rsidP="002C2679">
                        <w:pPr>
                          <w:pStyle w:val="BodyText2"/>
                          <w:spacing w:after="0" w:line="240" w:lineRule="auto"/>
                          <w:jc w:val="both"/>
                          <w:rPr>
                            <w:u w:val="single"/>
                          </w:rPr>
                        </w:pPr>
                        <w:r w:rsidRPr="004B08B6">
                          <w:t>G</w:t>
                        </w:r>
                        <w:r w:rsidRPr="004B08B6">
                          <w:rPr>
                            <w:u w:val="single"/>
                          </w:rPr>
                          <w:t>eograafia</w:t>
                        </w:r>
                      </w:p>
                      <w:p w:rsidR="004B08B6" w:rsidRPr="004B08B6" w:rsidRDefault="004B08B6" w:rsidP="002C2679">
                        <w:pPr>
                          <w:pStyle w:val="BodyText2"/>
                          <w:spacing w:after="0" w:line="240" w:lineRule="auto"/>
                          <w:jc w:val="both"/>
                        </w:pPr>
                        <w:r w:rsidRPr="004B08B6">
                          <w:t>Riigid, pealinnad,  rahvastik, rassid.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Arvutiõpetus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Muusikanäidete leidmine ja kasutamine internetis, esitlused.</w:t>
                        </w:r>
                      </w:p>
                    </w:tc>
                  </w:tr>
                  <w:tr w:rsidR="004B08B6" w:rsidRPr="004B08B6" w:rsidTr="001D470E">
                    <w:tc>
                      <w:tcPr>
                        <w:tcW w:w="22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Muusikaline kirjaoskus ja oskussõnavara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Rakendab üksi ja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rühmas musitseerides teadmisi muusikast ning väljendab erinevates muusikalistes tegevustes oma loomingulisi ideid;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* Mõistab  helivältuste, rütmifiguuride ja pausi tähendust ning kasutab neid muusikalistes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tegevustes: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* mõistab taktimõõtude 2/4, 3/4, 4/4 ja laulurepertuaarist tulenevalt kaheksandik taktimõõdu tähendust ning arvestab neid musitseerides;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* kasutab laulude õppimisel absoluutseid helikõrgusi (tähtnimed);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* mõistab oskussõnade tähendust ja kasutab neid praktikas:</w:t>
                        </w:r>
                        <w:r w:rsidR="001D4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dünaamika, agoogika, tempo</w:t>
                        </w:r>
                      </w:p>
                      <w:p w:rsidR="004B08B6" w:rsidRPr="004B08B6" w:rsidRDefault="004B08B6" w:rsidP="002C2679">
                        <w:pPr>
                          <w:ind w:left="993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5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Naturaalklav</w:t>
                        </w:r>
                        <w:r w:rsidR="001D4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er, internetiühendusega arvuti,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astmetrepp, rändnoot, noodijoonestikuga tahvel,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Hindamisel arvestatakse: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B08B6">
                          <w:rPr>
                            <w:sz w:val="24"/>
                            <w:szCs w:val="24"/>
                            <w:lang w:eastAsia="en-US"/>
                          </w:rPr>
                          <w:t xml:space="preserve">* muusikalise kirjaoskuse rakendamist laulmisel,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* oskussõnade rakendamist muusika kuulamisel.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9" w:type="dxa"/>
                      </w:tcPr>
                      <w:p w:rsidR="004B08B6" w:rsidRPr="004B08B6" w:rsidRDefault="004B08B6" w:rsidP="002C2679">
                        <w:pPr>
                          <w:pStyle w:val="Heading4"/>
                          <w:jc w:val="both"/>
                          <w:outlineLvl w:val="3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auto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auto"/>
                            <w:u w:val="single"/>
                          </w:rPr>
                          <w:lastRenderedPageBreak/>
                          <w:t>Eesti keel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Õigekiri, sh muusikaline.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Matemaatika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Noodivältused, taktimõõt, vorm, sümbolid, murrud,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paralleelsed helistikud, eristamine.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Kehaline kasvatus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Rahvatants,  ladina ja standardtants.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Kunst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Kõlavärv.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Võõrkeel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Itaaliakeelsete muusikaliste  terminite tähenduse mõistmine.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Arvutiõpetus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Muusikaterminitele seletuste leidmine internetis,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lihtsate muusikapalade loomine muusikaprogrammi kasutades.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08B6" w:rsidRPr="004B08B6" w:rsidTr="001D470E">
                    <w:tc>
                      <w:tcPr>
                        <w:tcW w:w="2230" w:type="dxa"/>
                      </w:tcPr>
                      <w:p w:rsidR="004B08B6" w:rsidRPr="004B08B6" w:rsidRDefault="004B08B6" w:rsidP="002C2679">
                        <w:pPr>
                          <w:pStyle w:val="Footer"/>
                          <w:jc w:val="both"/>
                          <w:rPr>
                            <w:rStyle w:val="Emphasis"/>
                            <w:rFonts w:eastAsiaTheme="majorEastAsia"/>
                            <w:b/>
                            <w:bCs/>
                            <w:i w:val="0"/>
                            <w:iCs w:val="0"/>
                          </w:rPr>
                        </w:pPr>
                        <w:r w:rsidRPr="004B08B6">
                          <w:rPr>
                            <w:rStyle w:val="Emphasis"/>
                            <w:rFonts w:eastAsiaTheme="majorEastAsia"/>
                            <w:b/>
                          </w:rPr>
                          <w:lastRenderedPageBreak/>
                          <w:t>Õppekäigud</w:t>
                        </w:r>
                      </w:p>
                      <w:p w:rsidR="004B08B6" w:rsidRPr="004B08B6" w:rsidRDefault="004B08B6" w:rsidP="002C2679">
                        <w:pPr>
                          <w:pStyle w:val="Footer"/>
                          <w:jc w:val="both"/>
                          <w:rPr>
                            <w:rStyle w:val="Emphasis"/>
                            <w:rFonts w:eastAsiaTheme="majorEastAsia"/>
                            <w:b/>
                            <w:bCs/>
                            <w:i w:val="0"/>
                            <w:iCs w:val="0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Style w:val="Emphasis"/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t xml:space="preserve">*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Huvitub muusikaalasest tegevusest ja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väärtustab seda ning osaleb kohalikus kultuurielus</w:t>
                        </w:r>
                      </w:p>
                    </w:tc>
                    <w:tc>
                      <w:tcPr>
                        <w:tcW w:w="2396" w:type="dxa"/>
                      </w:tcPr>
                      <w:p w:rsidR="004B08B6" w:rsidRPr="004B08B6" w:rsidRDefault="004B08B6" w:rsidP="002C2679">
                        <w:pPr>
                          <w:spacing w:after="2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*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Arutleb, analüüsib ja põhjendab oma arvamust muusikaelamuste kohta suulisel,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kirjalikul või muul looval viisil</w:t>
                        </w:r>
                        <w:r w:rsidRPr="004B08B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kasutab arvamust väljendades teadmisi ja muusikalist oskussõnavara.</w:t>
                        </w:r>
                      </w:p>
                    </w:tc>
                    <w:tc>
                      <w:tcPr>
                        <w:tcW w:w="235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Võimalusel  - kontserdid, muusikalavastused, muusikakoolid, raamatukogud, 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virtuaalsed õppekäigud, õuesõpe.</w:t>
                        </w:r>
                      </w:p>
                    </w:tc>
                    <w:tc>
                      <w:tcPr>
                        <w:tcW w:w="1930" w:type="dxa"/>
                      </w:tcPr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Hindamisel arvestatakse: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oma arvamuse põhjendamist;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* originaalsust;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väljendusoskust;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 muusika oskussõnade kasutamist;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* tööpanust.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9" w:type="dxa"/>
                      </w:tcPr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B08B6">
                          <w:rPr>
                            <w:sz w:val="24"/>
                            <w:szCs w:val="24"/>
                            <w:u w:val="single"/>
                            <w:lang w:eastAsia="en-US"/>
                          </w:rPr>
                          <w:t>Eesti</w:t>
                        </w:r>
                        <w:r w:rsidRPr="004B08B6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4B08B6">
                          <w:rPr>
                            <w:sz w:val="24"/>
                            <w:szCs w:val="24"/>
                            <w:u w:val="single"/>
                            <w:lang w:eastAsia="en-US"/>
                          </w:rPr>
                          <w:t>keel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B08B6">
                          <w:rPr>
                            <w:sz w:val="24"/>
                            <w:szCs w:val="24"/>
                            <w:lang w:eastAsia="en-US"/>
                          </w:rPr>
                          <w:t>Õigekiri, sõnavara, sh muusikaline.</w:t>
                        </w:r>
                      </w:p>
                      <w:p w:rsidR="004B08B6" w:rsidRPr="004B08B6" w:rsidRDefault="004B08B6" w:rsidP="002C2679">
                        <w:pPr>
                          <w:pStyle w:val="CommentText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4B08B6">
                          <w:rPr>
                            <w:sz w:val="24"/>
                            <w:szCs w:val="24"/>
                            <w:u w:val="single"/>
                          </w:rPr>
                          <w:t>Kunst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Visuaalse muusikelamuse kujutamine, plakat jne.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Kehaline kasvatus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Muusikaelamuse kujutamine liikumise kaudu  ja dramatiseeringus.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Matemaatika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Loogika, arutlus-, analüüsi- ja põhjendusoskus.</w:t>
                        </w: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Arvutiõpetus</w:t>
                        </w:r>
                      </w:p>
                      <w:p w:rsidR="004B08B6" w:rsidRPr="004B08B6" w:rsidRDefault="004B08B6" w:rsidP="002C267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08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Teabe otsimine ja leidmine ürituste, institutsioonide koht,  lihtsate muusikapalade loomine muusikaprogrammi kasutades.</w:t>
                        </w:r>
                      </w:p>
                    </w:tc>
                  </w:tr>
                </w:tbl>
                <w:p w:rsidR="00BC627E" w:rsidRPr="004B08B6" w:rsidRDefault="00BC627E" w:rsidP="00ED5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</w:tbl>
          <w:p w:rsidR="00BC627E" w:rsidRPr="004B08B6" w:rsidRDefault="00BC627E" w:rsidP="00ED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BC627E" w:rsidRPr="004B08B6" w:rsidRDefault="00BC627E" w:rsidP="00ED51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BC627E" w:rsidRPr="004B08B6" w:rsidTr="00BC627E">
        <w:trPr>
          <w:trHeight w:val="390"/>
          <w:tblCellSpacing w:w="0" w:type="dxa"/>
        </w:trPr>
        <w:tc>
          <w:tcPr>
            <w:tcW w:w="11550" w:type="dxa"/>
            <w:vAlign w:val="center"/>
            <w:hideMark/>
          </w:tcPr>
          <w:p w:rsidR="00BC627E" w:rsidRPr="004B08B6" w:rsidRDefault="00BC627E" w:rsidP="00ED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</w:tr>
    </w:tbl>
    <w:p w:rsidR="00BC627E" w:rsidRPr="004B08B6" w:rsidRDefault="00BC627E" w:rsidP="00ED51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115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50"/>
      </w:tblGrid>
      <w:tr w:rsidR="00BC627E" w:rsidRPr="004B08B6" w:rsidTr="00BC627E">
        <w:trPr>
          <w:trHeight w:val="240"/>
          <w:tblCellSpacing w:w="0" w:type="dxa"/>
        </w:trPr>
        <w:tc>
          <w:tcPr>
            <w:tcW w:w="11550" w:type="dxa"/>
            <w:vAlign w:val="bottom"/>
            <w:hideMark/>
          </w:tcPr>
          <w:p w:rsidR="00BC627E" w:rsidRPr="004B08B6" w:rsidRDefault="00BC627E" w:rsidP="00ED5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ED51AB" w:rsidRPr="004B08B6" w:rsidRDefault="00ED51AB" w:rsidP="00ED51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1AB" w:rsidRPr="004B08B6" w:rsidSect="004B08B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A"/>
    <w:multiLevelType w:val="multilevel"/>
    <w:tmpl w:val="C6A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90308"/>
    <w:multiLevelType w:val="hybridMultilevel"/>
    <w:tmpl w:val="7862CD90"/>
    <w:lvl w:ilvl="0" w:tplc="75DCF37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5DB"/>
    <w:multiLevelType w:val="hybridMultilevel"/>
    <w:tmpl w:val="D6F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4074"/>
    <w:multiLevelType w:val="multilevel"/>
    <w:tmpl w:val="71D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97A1E"/>
    <w:multiLevelType w:val="multilevel"/>
    <w:tmpl w:val="28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FE5D9E"/>
    <w:multiLevelType w:val="hybridMultilevel"/>
    <w:tmpl w:val="73F27D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2250A"/>
    <w:multiLevelType w:val="multilevel"/>
    <w:tmpl w:val="5E2A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7E497C"/>
    <w:multiLevelType w:val="multilevel"/>
    <w:tmpl w:val="C6A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27E"/>
    <w:rsid w:val="00126823"/>
    <w:rsid w:val="001D470E"/>
    <w:rsid w:val="002018AE"/>
    <w:rsid w:val="002C2122"/>
    <w:rsid w:val="003F0B28"/>
    <w:rsid w:val="00400F4C"/>
    <w:rsid w:val="00453ED0"/>
    <w:rsid w:val="00473085"/>
    <w:rsid w:val="004A29C8"/>
    <w:rsid w:val="004B08B6"/>
    <w:rsid w:val="00533B11"/>
    <w:rsid w:val="00605EC0"/>
    <w:rsid w:val="007E6C42"/>
    <w:rsid w:val="008068B8"/>
    <w:rsid w:val="00895B03"/>
    <w:rsid w:val="008B57FD"/>
    <w:rsid w:val="009802A7"/>
    <w:rsid w:val="009D201B"/>
    <w:rsid w:val="00A458D0"/>
    <w:rsid w:val="00A96FEA"/>
    <w:rsid w:val="00B6410C"/>
    <w:rsid w:val="00BC627E"/>
    <w:rsid w:val="00C32DEE"/>
    <w:rsid w:val="00C67628"/>
    <w:rsid w:val="00D209E3"/>
    <w:rsid w:val="00DD62F2"/>
    <w:rsid w:val="00E26101"/>
    <w:rsid w:val="00ED51AB"/>
    <w:rsid w:val="00F15343"/>
    <w:rsid w:val="00F5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42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B08B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62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B08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rsid w:val="004B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4B08B6"/>
    <w:rPr>
      <w:rFonts w:ascii="Times New Roman" w:eastAsia="Times New Roman" w:hAnsi="Times New Roman" w:cs="Times New Roman"/>
      <w:sz w:val="20"/>
      <w:szCs w:val="20"/>
      <w:lang w:eastAsia="et-EE"/>
    </w:rPr>
  </w:style>
  <w:style w:type="table" w:styleId="TableGrid">
    <w:name w:val="Table Grid"/>
    <w:basedOn w:val="TableNormal"/>
    <w:uiPriority w:val="59"/>
    <w:rsid w:val="004B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4B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B08B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B0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8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8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B08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1841</Words>
  <Characters>10678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</dc:creator>
  <cp:lastModifiedBy>Erika</cp:lastModifiedBy>
  <cp:revision>2</cp:revision>
  <dcterms:created xsi:type="dcterms:W3CDTF">2015-10-06T09:32:00Z</dcterms:created>
  <dcterms:modified xsi:type="dcterms:W3CDTF">2015-10-06T09:32:00Z</dcterms:modified>
</cp:coreProperties>
</file>